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7C20" w14:textId="33CEF18C" w:rsidR="000242FC" w:rsidRDefault="000242FC" w:rsidP="000242FC">
      <w:pPr>
        <w:spacing w:after="240" w:line="288" w:lineRule="auto"/>
        <w:jc w:val="center"/>
        <w:rPr>
          <w:rFonts w:ascii="Verdana" w:hAnsi="Verdana"/>
          <w:b/>
          <w:sz w:val="20"/>
          <w:szCs w:val="20"/>
        </w:rPr>
      </w:pPr>
      <w:r w:rsidRPr="000242FC">
        <w:rPr>
          <w:rFonts w:ascii="Verdana" w:hAnsi="Verdana"/>
          <w:b/>
          <w:sz w:val="20"/>
          <w:szCs w:val="20"/>
        </w:rPr>
        <w:t>OŚWIADCZENIE</w:t>
      </w:r>
    </w:p>
    <w:p w14:paraId="63FBF2A6" w14:textId="77777777" w:rsidR="0080153E" w:rsidRPr="00203227" w:rsidRDefault="0080153E" w:rsidP="0080153E">
      <w:pPr>
        <w:spacing w:after="240" w:line="288" w:lineRule="auto"/>
        <w:jc w:val="both"/>
        <w:rPr>
          <w:rFonts w:ascii="Verdana" w:hAnsi="Verdana"/>
          <w:sz w:val="20"/>
          <w:szCs w:val="20"/>
        </w:rPr>
      </w:pPr>
      <w:r w:rsidRPr="00203227">
        <w:rPr>
          <w:rFonts w:ascii="Verdana" w:hAnsi="Verdana"/>
          <w:sz w:val="20"/>
          <w:szCs w:val="20"/>
        </w:rPr>
        <w:t>Generalny Wykonawca – Grupa Blackbird spółka z ograniczoną odpowiedzialnością sp.k. („</w:t>
      </w:r>
      <w:r w:rsidRPr="00203227">
        <w:rPr>
          <w:rFonts w:ascii="Verdana" w:hAnsi="Verdana"/>
          <w:b/>
          <w:bCs/>
          <w:sz w:val="20"/>
          <w:szCs w:val="20"/>
        </w:rPr>
        <w:t>Generalny Wykonawca</w:t>
      </w:r>
      <w:r w:rsidRPr="00203227">
        <w:rPr>
          <w:rFonts w:ascii="Verdana" w:hAnsi="Verdana"/>
          <w:sz w:val="20"/>
          <w:szCs w:val="20"/>
        </w:rPr>
        <w:t xml:space="preserve">”) potwierdza informację, że </w:t>
      </w:r>
      <w:r w:rsidRPr="00203227">
        <w:rPr>
          <w:rFonts w:ascii="Verdana" w:hAnsi="Verdana"/>
          <w:b/>
          <w:bCs/>
          <w:sz w:val="20"/>
          <w:szCs w:val="20"/>
        </w:rPr>
        <w:t>w związku m.in. z brakiem współdziałania z Generalnym Wykonawcą ze strony zamawiających</w:t>
      </w:r>
      <w:r w:rsidRPr="00203227">
        <w:rPr>
          <w:rFonts w:ascii="Verdana" w:hAnsi="Verdana"/>
          <w:sz w:val="20"/>
          <w:szCs w:val="20"/>
        </w:rPr>
        <w:t xml:space="preserve"> – Nowosądeckiej Infrastruktury Komunalnej sp. z o.o. („</w:t>
      </w:r>
      <w:r w:rsidRPr="00203227">
        <w:rPr>
          <w:rFonts w:ascii="Verdana" w:hAnsi="Verdana"/>
          <w:b/>
          <w:bCs/>
          <w:sz w:val="20"/>
          <w:szCs w:val="20"/>
        </w:rPr>
        <w:t>NIK</w:t>
      </w:r>
      <w:r w:rsidRPr="00203227">
        <w:rPr>
          <w:rFonts w:ascii="Verdana" w:hAnsi="Verdana"/>
          <w:sz w:val="20"/>
          <w:szCs w:val="20"/>
        </w:rPr>
        <w:t>”) oraz Miasta Nowy Sącz przy realizacji umów zawartych z każdym z zamawiających, tj. umowy o roboty budowlane dotyczącej inwestycji stadionu miejskiego w Nowym Sączu zawartej z NIK oraz umowy o</w:t>
      </w:r>
      <w:r>
        <w:rPr>
          <w:rFonts w:ascii="Verdana" w:hAnsi="Verdana"/>
          <w:sz w:val="20"/>
          <w:szCs w:val="20"/>
        </w:rPr>
        <w:t> </w:t>
      </w:r>
      <w:r w:rsidRPr="00203227">
        <w:rPr>
          <w:rFonts w:ascii="Verdana" w:hAnsi="Verdana"/>
          <w:sz w:val="20"/>
          <w:szCs w:val="20"/>
        </w:rPr>
        <w:t xml:space="preserve">roboty budowlane dotyczącej boiska ze sztuczną murawą w Nowym Sączu (Zawada) zawartej z Miastem Nowy Sącz, </w:t>
      </w:r>
      <w:r w:rsidRPr="00203227">
        <w:rPr>
          <w:rFonts w:ascii="Verdana" w:hAnsi="Verdana"/>
          <w:b/>
          <w:bCs/>
          <w:sz w:val="20"/>
          <w:szCs w:val="20"/>
        </w:rPr>
        <w:t>jak również powzięciem przez Generalnego Wykonawcę wiedzy o braku woli kontynuowania współpracy ze strony ww. zamawiających</w:t>
      </w:r>
      <w:r w:rsidRPr="00203227">
        <w:rPr>
          <w:rFonts w:ascii="Verdana" w:hAnsi="Verdana"/>
          <w:sz w:val="20"/>
          <w:szCs w:val="20"/>
        </w:rPr>
        <w:t xml:space="preserve">, w tym braku zamiaru wykonania leżących po stronie zamawiających zobowiązań umownych, w szczególności w postaci zapłaty należnego wynagrodzenia Generalnego Wykonawcy, </w:t>
      </w:r>
      <w:r w:rsidRPr="00203227">
        <w:rPr>
          <w:rFonts w:ascii="Verdana" w:hAnsi="Verdana"/>
          <w:b/>
          <w:bCs/>
          <w:sz w:val="20"/>
          <w:szCs w:val="20"/>
        </w:rPr>
        <w:t xml:space="preserve">oświadczeniami </w:t>
      </w:r>
      <w:r>
        <w:rPr>
          <w:rFonts w:ascii="Verdana" w:hAnsi="Verdana"/>
          <w:b/>
          <w:bCs/>
          <w:sz w:val="20"/>
          <w:szCs w:val="20"/>
        </w:rPr>
        <w:t xml:space="preserve">z dnia 30 </w:t>
      </w:r>
      <w:r w:rsidRPr="00203227">
        <w:rPr>
          <w:rFonts w:ascii="Verdana" w:hAnsi="Verdana"/>
          <w:b/>
          <w:bCs/>
          <w:sz w:val="20"/>
          <w:szCs w:val="20"/>
        </w:rPr>
        <w:t xml:space="preserve">października </w:t>
      </w:r>
      <w:r>
        <w:rPr>
          <w:rFonts w:ascii="Verdana" w:hAnsi="Verdana"/>
          <w:b/>
          <w:bCs/>
          <w:sz w:val="20"/>
          <w:szCs w:val="20"/>
        </w:rPr>
        <w:t xml:space="preserve">2023 roku </w:t>
      </w:r>
      <w:r w:rsidRPr="00203227">
        <w:rPr>
          <w:rFonts w:ascii="Verdana" w:hAnsi="Verdana"/>
          <w:b/>
          <w:bCs/>
          <w:sz w:val="20"/>
          <w:szCs w:val="20"/>
        </w:rPr>
        <w:t>złożonymi ww. zamawiającym w dniu 3</w:t>
      </w:r>
      <w:r>
        <w:rPr>
          <w:rFonts w:ascii="Verdana" w:hAnsi="Verdana"/>
          <w:b/>
          <w:bCs/>
          <w:sz w:val="20"/>
          <w:szCs w:val="20"/>
        </w:rPr>
        <w:t>1</w:t>
      </w:r>
      <w:r w:rsidRPr="00203227">
        <w:rPr>
          <w:rFonts w:ascii="Verdana" w:hAnsi="Verdana"/>
          <w:b/>
          <w:bCs/>
          <w:sz w:val="20"/>
          <w:szCs w:val="20"/>
        </w:rPr>
        <w:t xml:space="preserve"> października 2023 roku Generalny Wykonawca odstąpił od ww. umów o roboty budowlane</w:t>
      </w:r>
      <w:r w:rsidRPr="00203227">
        <w:rPr>
          <w:rFonts w:ascii="Verdana" w:hAnsi="Verdana"/>
          <w:sz w:val="20"/>
          <w:szCs w:val="20"/>
        </w:rPr>
        <w:t>.</w:t>
      </w:r>
    </w:p>
    <w:p w14:paraId="5398A87D" w14:textId="77777777" w:rsidR="0080153E" w:rsidRPr="00203227" w:rsidRDefault="0080153E" w:rsidP="0080153E">
      <w:pPr>
        <w:spacing w:after="240" w:line="288" w:lineRule="auto"/>
        <w:jc w:val="both"/>
        <w:rPr>
          <w:rFonts w:ascii="Verdana" w:hAnsi="Verdana"/>
          <w:sz w:val="20"/>
          <w:szCs w:val="20"/>
        </w:rPr>
      </w:pPr>
      <w:r w:rsidRPr="00203227">
        <w:rPr>
          <w:rFonts w:ascii="Verdana" w:hAnsi="Verdana"/>
          <w:sz w:val="20"/>
          <w:szCs w:val="20"/>
        </w:rPr>
        <w:t>Wykonawca zaznacza, że wszystkie wskazane przez Wykonawcę podstawy odstąpienia zostały w sposób jednoznaczny i nie budzący wątpliwości potwierdzone przez obu zamawiających podczas konferencji z dnia 31 października 2023 roku.</w:t>
      </w:r>
    </w:p>
    <w:p w14:paraId="2284A99D" w14:textId="77777777" w:rsidR="0080153E" w:rsidRPr="00203227" w:rsidRDefault="0080153E" w:rsidP="0080153E">
      <w:pPr>
        <w:spacing w:after="240" w:line="288" w:lineRule="auto"/>
        <w:jc w:val="both"/>
        <w:rPr>
          <w:rFonts w:ascii="Verdana" w:hAnsi="Verdana"/>
          <w:sz w:val="20"/>
          <w:szCs w:val="20"/>
        </w:rPr>
      </w:pPr>
      <w:r w:rsidRPr="00203227">
        <w:rPr>
          <w:rFonts w:ascii="Verdana" w:hAnsi="Verdana"/>
          <w:sz w:val="20"/>
          <w:szCs w:val="20"/>
        </w:rPr>
        <w:t xml:space="preserve">Generalny Wykonawca </w:t>
      </w:r>
      <w:r w:rsidRPr="00203227">
        <w:rPr>
          <w:rFonts w:ascii="Verdana" w:hAnsi="Verdana"/>
          <w:b/>
          <w:bCs/>
          <w:sz w:val="20"/>
          <w:szCs w:val="20"/>
        </w:rPr>
        <w:t>częściowo potwierdza</w:t>
      </w:r>
      <w:r w:rsidRPr="00203227">
        <w:rPr>
          <w:rFonts w:ascii="Verdana" w:hAnsi="Verdana"/>
          <w:sz w:val="20"/>
          <w:szCs w:val="20"/>
        </w:rPr>
        <w:t xml:space="preserve"> także informacje zawarte w oświadczeniu prasowym NIK z dnia 31 października 2023 roku dotyczącym umowy na realizację inwestycji stadion miejski w Nowym Sączu („</w:t>
      </w:r>
      <w:r w:rsidRPr="00203227">
        <w:rPr>
          <w:rFonts w:ascii="Verdana" w:hAnsi="Verdana"/>
          <w:b/>
          <w:bCs/>
          <w:sz w:val="20"/>
          <w:szCs w:val="20"/>
        </w:rPr>
        <w:t>Inwestycja</w:t>
      </w:r>
      <w:r w:rsidRPr="00203227">
        <w:rPr>
          <w:rFonts w:ascii="Verdana" w:hAnsi="Verdana"/>
          <w:sz w:val="20"/>
          <w:szCs w:val="20"/>
        </w:rPr>
        <w:t xml:space="preserve">”), tj. </w:t>
      </w:r>
      <w:r w:rsidRPr="00203227">
        <w:rPr>
          <w:rFonts w:ascii="Verdana" w:hAnsi="Verdana"/>
          <w:b/>
          <w:bCs/>
          <w:sz w:val="20"/>
          <w:szCs w:val="20"/>
        </w:rPr>
        <w:t>w zakresie</w:t>
      </w:r>
      <w:r w:rsidRPr="00203227">
        <w:rPr>
          <w:rFonts w:ascii="Verdana" w:hAnsi="Verdana"/>
          <w:sz w:val="20"/>
          <w:szCs w:val="20"/>
        </w:rPr>
        <w:t xml:space="preserve"> w jakim NIK wskazał, że:</w:t>
      </w:r>
    </w:p>
    <w:p w14:paraId="566BBC95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Wykonawca nie otrzymał od Zamawiającego żadnej zaliczki na poczet przyszłego wynagrodzenia za roboty – wszystkie płatności dokonywane  przez NIK następowały </w:t>
      </w:r>
      <w:r w:rsidRPr="00B26898">
        <w:rPr>
          <w:rFonts w:ascii="Verdana" w:eastAsia="Times New Roman" w:hAnsi="Verdana"/>
          <w:i/>
          <w:iCs/>
          <w:sz w:val="20"/>
          <w:szCs w:val="20"/>
        </w:rPr>
        <w:t>„z dołu”</w:t>
      </w:r>
      <w:r>
        <w:rPr>
          <w:rFonts w:ascii="Verdana" w:eastAsia="Times New Roman" w:hAnsi="Verdana"/>
          <w:sz w:val="20"/>
          <w:szCs w:val="20"/>
        </w:rPr>
        <w:t>, za roboty wykonane i odebrane przez Zamawiającego; dopiero wykonanie poszczególnych prac przy Inwestycji oraz dokonanie ich odbioru przez NIK uprawniało Generalnego Wykonawcę do otrzymania płatności;</w:t>
      </w:r>
    </w:p>
    <w:p w14:paraId="7E2E8414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na dzień odstąpienia od umowy przez Generalnego Wykonawcę (tj. 31 października 2023 roku):</w:t>
      </w:r>
    </w:p>
    <w:p w14:paraId="598DFF4E" w14:textId="77777777" w:rsidR="0080153E" w:rsidRDefault="0080153E" w:rsidP="0080153E">
      <w:pPr>
        <w:pStyle w:val="Akapitzlist"/>
        <w:numPr>
          <w:ilvl w:val="1"/>
          <w:numId w:val="1"/>
        </w:num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Stadion był ukończony w ok. 80 %;</w:t>
      </w:r>
    </w:p>
    <w:p w14:paraId="37883FE8" w14:textId="77777777" w:rsidR="0080153E" w:rsidRDefault="0080153E" w:rsidP="0080153E">
      <w:pPr>
        <w:pStyle w:val="Akapitzlist"/>
        <w:numPr>
          <w:ilvl w:val="1"/>
          <w:numId w:val="1"/>
        </w:num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 w:rsidRPr="0038276F">
        <w:rPr>
          <w:rFonts w:ascii="Verdana" w:hAnsi="Verdana"/>
          <w:sz w:val="20"/>
          <w:szCs w:val="20"/>
        </w:rPr>
        <w:t>Generalny Wykonawca otrzymał</w:t>
      </w:r>
      <w:r>
        <w:rPr>
          <w:rFonts w:ascii="Verdana" w:hAnsi="Verdana"/>
          <w:sz w:val="20"/>
          <w:szCs w:val="20"/>
        </w:rPr>
        <w:t xml:space="preserve"> od NIK zapłatę</w:t>
      </w:r>
      <w:r w:rsidRPr="0038276F">
        <w:rPr>
          <w:rFonts w:ascii="Verdana" w:hAnsi="Verdana"/>
          <w:sz w:val="20"/>
          <w:szCs w:val="20"/>
        </w:rPr>
        <w:t xml:space="preserve"> wynagrodzeni</w:t>
      </w:r>
      <w:r>
        <w:rPr>
          <w:rFonts w:ascii="Verdana" w:hAnsi="Verdana"/>
          <w:sz w:val="20"/>
          <w:szCs w:val="20"/>
        </w:rPr>
        <w:t>a</w:t>
      </w:r>
      <w:r w:rsidRPr="003827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jedynie </w:t>
      </w:r>
      <w:r w:rsidRPr="0038276F">
        <w:rPr>
          <w:rFonts w:ascii="Verdana" w:hAnsi="Verdana"/>
          <w:sz w:val="20"/>
          <w:szCs w:val="20"/>
        </w:rPr>
        <w:t>w kwocie 48.351.648,49 złotych (netto)</w:t>
      </w:r>
      <w:r>
        <w:rPr>
          <w:rFonts w:ascii="Verdana" w:hAnsi="Verdana"/>
          <w:sz w:val="20"/>
          <w:szCs w:val="20"/>
        </w:rPr>
        <w:t>;|</w:t>
      </w:r>
    </w:p>
    <w:p w14:paraId="010888B1" w14:textId="77777777" w:rsidR="0080153E" w:rsidRPr="0038237B" w:rsidRDefault="0080153E" w:rsidP="0080153E">
      <w:pPr>
        <w:pStyle w:val="Akapitzlist"/>
        <w:numPr>
          <w:ilvl w:val="1"/>
          <w:numId w:val="1"/>
        </w:num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 w:rsidRPr="0038237B">
        <w:rPr>
          <w:rFonts w:ascii="Verdana" w:hAnsi="Verdana"/>
          <w:sz w:val="20"/>
          <w:szCs w:val="20"/>
        </w:rPr>
        <w:t>Generalny Wykonawca nie otrzymał wynagrodzenia za prace wykonane i odebrane przez NIK, „zafakturowane”, o wartości ok. 1,5 mln złotych (netto);</w:t>
      </w:r>
    </w:p>
    <w:p w14:paraId="5FBE982C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 w:rsidRPr="00203227">
        <w:rPr>
          <w:rFonts w:ascii="Verdana" w:eastAsia="Times New Roman" w:hAnsi="Verdana"/>
          <w:sz w:val="20"/>
          <w:szCs w:val="20"/>
        </w:rPr>
        <w:t>w toku realizacji Inwestycji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 xml:space="preserve"> wystąpiła niemożliwa do przewidzenia zmiana stosunków w postaci wzrostu cen materiałów i kosztów wykonania</w:t>
      </w:r>
      <w:r w:rsidRPr="00203227">
        <w:rPr>
          <w:rFonts w:ascii="Verdana" w:eastAsia="Times New Roman" w:hAnsi="Verdana"/>
          <w:sz w:val="20"/>
          <w:szCs w:val="20"/>
        </w:rPr>
        <w:t xml:space="preserve"> na skutek pandemii wirusa Sars-CoV-2 oraz wojny w Ukrainie;</w:t>
      </w:r>
    </w:p>
    <w:p w14:paraId="2DE0A927" w14:textId="77777777" w:rsidR="0080153E" w:rsidRPr="0038237B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od dnia złożenia oferty do dnia odstąpienia przez Generalnego Wykonawcę od Umowy doszło do nadzwyczajnej zmiany stosunków – na skutek epidemii COVID i Wojny, wzrost cen materiałów i usług nie był możliwy do przewidzenia;</w:t>
      </w:r>
    </w:p>
    <w:p w14:paraId="1EC5F67E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NIK przyznał, że doszło do wzrostów cen na poziomie ok. 30 %, którego nie można było przewidzieć;</w:t>
      </w:r>
    </w:p>
    <w:p w14:paraId="2B8DF187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NIK dokonał jedynie częściowej waloryzacji wykonanych robót;</w:t>
      </w:r>
    </w:p>
    <w:p w14:paraId="7F7792E5" w14:textId="70E4FE9E" w:rsidR="0080153E" w:rsidRPr="0038237B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pomimo przyznania przez NIK wzrostu cen, NIK </w:t>
      </w:r>
      <w:r w:rsidRPr="0038237B">
        <w:rPr>
          <w:rFonts w:ascii="Verdana" w:eastAsia="Times New Roman" w:hAnsi="Verdana"/>
          <w:sz w:val="20"/>
          <w:szCs w:val="20"/>
        </w:rPr>
        <w:t>bezzasadnie odmówił</w:t>
      </w:r>
      <w:r w:rsidR="00042AEA">
        <w:rPr>
          <w:rFonts w:ascii="Verdana" w:eastAsia="Times New Roman" w:hAnsi="Verdana"/>
          <w:sz w:val="20"/>
          <w:szCs w:val="20"/>
        </w:rPr>
        <w:t xml:space="preserve"> </w:t>
      </w:r>
      <w:r w:rsidR="00042AEA">
        <w:rPr>
          <w:rFonts w:ascii="Verdana" w:eastAsia="Times New Roman" w:hAnsi="Verdana"/>
          <w:sz w:val="20"/>
          <w:szCs w:val="20"/>
        </w:rPr>
        <w:t>kolejnej</w:t>
      </w:r>
      <w:r w:rsidR="00042AEA" w:rsidRPr="0038237B">
        <w:rPr>
          <w:rFonts w:ascii="Verdana" w:eastAsia="Times New Roman" w:hAnsi="Verdana"/>
          <w:sz w:val="20"/>
          <w:szCs w:val="20"/>
        </w:rPr>
        <w:t xml:space="preserve"> części</w:t>
      </w:r>
      <w:r w:rsidRPr="0038237B">
        <w:rPr>
          <w:rFonts w:ascii="Verdana" w:eastAsia="Times New Roman" w:hAnsi="Verdana"/>
          <w:sz w:val="20"/>
          <w:szCs w:val="20"/>
        </w:rPr>
        <w:t xml:space="preserve"> waloryzacji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38237B">
        <w:rPr>
          <w:rFonts w:ascii="Verdana" w:eastAsia="Times New Roman" w:hAnsi="Verdana"/>
          <w:sz w:val="20"/>
          <w:szCs w:val="20"/>
        </w:rPr>
        <w:t xml:space="preserve">wykonanych robót, przerzucając </w:t>
      </w:r>
      <w:r>
        <w:rPr>
          <w:rFonts w:ascii="Verdana" w:eastAsia="Times New Roman" w:hAnsi="Verdana"/>
          <w:sz w:val="20"/>
          <w:szCs w:val="20"/>
        </w:rPr>
        <w:t xml:space="preserve">całość </w:t>
      </w:r>
      <w:r w:rsidRPr="0038237B">
        <w:rPr>
          <w:rFonts w:ascii="Verdana" w:eastAsia="Times New Roman" w:hAnsi="Verdana"/>
          <w:sz w:val="20"/>
          <w:szCs w:val="20"/>
        </w:rPr>
        <w:t>konsekwencj</w:t>
      </w:r>
      <w:r>
        <w:rPr>
          <w:rFonts w:ascii="Verdana" w:eastAsia="Times New Roman" w:hAnsi="Verdana"/>
          <w:sz w:val="20"/>
          <w:szCs w:val="20"/>
        </w:rPr>
        <w:t>i</w:t>
      </w:r>
      <w:r w:rsidRPr="0038237B">
        <w:rPr>
          <w:rFonts w:ascii="Verdana" w:eastAsia="Times New Roman" w:hAnsi="Verdana"/>
          <w:sz w:val="20"/>
          <w:szCs w:val="20"/>
        </w:rPr>
        <w:t xml:space="preserve"> wzrostu cen na Wykonawcę;</w:t>
      </w:r>
    </w:p>
    <w:p w14:paraId="294B46A4" w14:textId="77777777" w:rsidR="0080153E" w:rsidRPr="00203227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 w:rsidRPr="00203227">
        <w:rPr>
          <w:rFonts w:ascii="Verdana" w:eastAsia="Times New Roman" w:hAnsi="Verdana"/>
          <w:sz w:val="20"/>
          <w:szCs w:val="20"/>
        </w:rPr>
        <w:t xml:space="preserve">w toku realizacji Inwestycji doszło do 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opóźnienia</w:t>
      </w:r>
      <w:r w:rsidRPr="00203227">
        <w:rPr>
          <w:rFonts w:ascii="Verdana" w:eastAsia="Times New Roman" w:hAnsi="Verdana"/>
          <w:sz w:val="20"/>
          <w:szCs w:val="20"/>
        </w:rPr>
        <w:t xml:space="preserve">, a zatem 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niezawinionej w</w:t>
      </w:r>
      <w:r>
        <w:rPr>
          <w:rFonts w:ascii="Verdana" w:eastAsia="Times New Roman" w:hAnsi="Verdana"/>
          <w:b/>
          <w:bCs/>
          <w:sz w:val="20"/>
          <w:szCs w:val="20"/>
        </w:rPr>
        <w:t> 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jakimkolwiek zakresie przez Generalnego Wykonawcę</w:t>
      </w:r>
      <w:r w:rsidRPr="00203227">
        <w:rPr>
          <w:rFonts w:ascii="Verdana" w:eastAsia="Times New Roman" w:hAnsi="Verdana"/>
          <w:sz w:val="20"/>
          <w:szCs w:val="20"/>
        </w:rPr>
        <w:t xml:space="preserve"> 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nieterminowości</w:t>
      </w:r>
      <w:r w:rsidRPr="00203227">
        <w:rPr>
          <w:rFonts w:ascii="Verdana" w:eastAsia="Times New Roman" w:hAnsi="Verdana"/>
          <w:sz w:val="20"/>
          <w:szCs w:val="20"/>
        </w:rPr>
        <w:t xml:space="preserve"> w realizacji Inwestycji w stosunku do harmonogramu rzeczowo-finansowego; jak zatem prawidłowo wskazał NIK w oświadczeniu prasowym, w przypadku tej realizacji mamy do czynienia z opóźnieniem, które – jak wynika z samej jego istoty – wystąpiło 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z przyczyn niezależnych od Generalnego Wykonawcy i niezawinionych przez Generalnego Wykonawcę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– Generalny Wykonawca przyjmuje przyznanie tego faktu przez NIK</w:t>
      </w:r>
      <w:r w:rsidRPr="00203227">
        <w:rPr>
          <w:rFonts w:ascii="Verdana" w:eastAsia="Times New Roman" w:hAnsi="Verdana"/>
          <w:sz w:val="20"/>
          <w:szCs w:val="20"/>
        </w:rPr>
        <w:t xml:space="preserve">; w konsekwencji, za </w:t>
      </w:r>
      <w:r>
        <w:rPr>
          <w:rFonts w:ascii="Verdana" w:eastAsia="Times New Roman" w:hAnsi="Verdana"/>
          <w:sz w:val="20"/>
          <w:szCs w:val="20"/>
        </w:rPr>
        <w:t xml:space="preserve">przyczyny opóźnienia </w:t>
      </w:r>
      <w:r w:rsidRPr="00203227">
        <w:rPr>
          <w:rFonts w:ascii="Verdana" w:eastAsia="Times New Roman" w:hAnsi="Verdana"/>
          <w:sz w:val="20"/>
          <w:szCs w:val="20"/>
        </w:rPr>
        <w:t>Generalny Wykonawca nie ponosi odpowiedzialności (por. Oświadczenie prasowe NIK, nb. 9 oraz 12); wobec powyższego, bezzasadne jest (rzekome) naliczenie przez NIK kary umownej za „zwłokę” (zawinione opóźnienie) w kwocie 2.539.326,33 złotych;</w:t>
      </w:r>
    </w:p>
    <w:p w14:paraId="47E1C756" w14:textId="77777777" w:rsidR="0080153E" w:rsidRPr="00203227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 w:rsidRPr="00203227">
        <w:rPr>
          <w:rFonts w:ascii="Verdana" w:eastAsia="Times New Roman" w:hAnsi="Verdana"/>
          <w:sz w:val="20"/>
          <w:szCs w:val="20"/>
        </w:rPr>
        <w:t xml:space="preserve">wobec 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odstąpienia przez Generalnego Wykonawcę od umowy na Inwestycję z przyczyn leżących po stronie NIK w drodze oświadczenia z dnia 3</w:t>
      </w:r>
      <w:r>
        <w:rPr>
          <w:rFonts w:ascii="Verdana" w:eastAsia="Times New Roman" w:hAnsi="Verdana"/>
          <w:b/>
          <w:bCs/>
          <w:sz w:val="20"/>
          <w:szCs w:val="20"/>
        </w:rPr>
        <w:t>0 </w:t>
      </w:r>
      <w:r w:rsidRPr="00203227">
        <w:rPr>
          <w:rFonts w:ascii="Verdana" w:eastAsia="Times New Roman" w:hAnsi="Verdana"/>
          <w:b/>
          <w:bCs/>
          <w:sz w:val="20"/>
          <w:szCs w:val="20"/>
        </w:rPr>
        <w:t>października 2023 roku</w:t>
      </w:r>
      <w:r w:rsidRPr="00B62C9E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złożonego dnia 31 października 2023 roku </w:t>
      </w:r>
      <w:r w:rsidRPr="00B62C9E">
        <w:rPr>
          <w:rFonts w:ascii="Verdana" w:eastAsia="Times New Roman" w:hAnsi="Verdana"/>
          <w:sz w:val="20"/>
          <w:szCs w:val="20"/>
        </w:rPr>
        <w:t xml:space="preserve">we wczesnych godzinach porannych, bezzasadne </w:t>
      </w:r>
      <w:r w:rsidRPr="00203227">
        <w:rPr>
          <w:rFonts w:ascii="Verdana" w:eastAsia="Times New Roman" w:hAnsi="Verdana"/>
          <w:sz w:val="20"/>
          <w:szCs w:val="20"/>
        </w:rPr>
        <w:t xml:space="preserve">jest (rzekome) naliczenie przez NIK kary umownej </w:t>
      </w:r>
      <w:r w:rsidRPr="00203227">
        <w:rPr>
          <w:rFonts w:ascii="Verdana" w:eastAsia="Times New Roman" w:hAnsi="Verdana"/>
          <w:i/>
          <w:iCs/>
          <w:sz w:val="20"/>
          <w:szCs w:val="20"/>
        </w:rPr>
        <w:t>„z tytułu odstąpienia od Umowy z przyczyn leżących po stronie Generalnego Wykonawcy”</w:t>
      </w:r>
      <w:r w:rsidRPr="00203227">
        <w:rPr>
          <w:rFonts w:ascii="Verdana" w:eastAsia="Times New Roman" w:hAnsi="Verdana"/>
          <w:sz w:val="20"/>
          <w:szCs w:val="20"/>
        </w:rPr>
        <w:t xml:space="preserve"> w kwocie 8.466.421,11 złotych;</w:t>
      </w:r>
    </w:p>
    <w:p w14:paraId="3BA90C34" w14:textId="467B0B9B" w:rsidR="0080153E" w:rsidRPr="00203227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 w:rsidRPr="00203227">
        <w:rPr>
          <w:rFonts w:ascii="Verdana" w:eastAsia="Times New Roman" w:hAnsi="Verdana"/>
          <w:sz w:val="20"/>
          <w:szCs w:val="20"/>
        </w:rPr>
        <w:t xml:space="preserve">Generalny Wykonawca potwierdza, że tak NIK jak i inne podmioty zaangażowane przy realizacji Inwestycji </w:t>
      </w:r>
      <w:r>
        <w:rPr>
          <w:rFonts w:ascii="Verdana" w:eastAsia="Times New Roman" w:hAnsi="Verdana"/>
          <w:sz w:val="20"/>
          <w:szCs w:val="20"/>
        </w:rPr>
        <w:t xml:space="preserve">po stronie inwestora </w:t>
      </w:r>
      <w:bookmarkStart w:id="0" w:name="_GoBack"/>
      <w:bookmarkEnd w:id="0"/>
      <w:r w:rsidRPr="00203227">
        <w:rPr>
          <w:rFonts w:ascii="Verdana" w:eastAsia="Times New Roman" w:hAnsi="Verdana"/>
          <w:sz w:val="20"/>
          <w:szCs w:val="20"/>
        </w:rPr>
        <w:t>odmawiały faktycznego współdziałania z Generalnym Wykonawcą;</w:t>
      </w:r>
    </w:p>
    <w:p w14:paraId="5F45F830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 w:rsidRPr="00203227">
        <w:rPr>
          <w:rFonts w:ascii="Verdana" w:eastAsia="Times New Roman" w:hAnsi="Verdana"/>
          <w:sz w:val="20"/>
          <w:szCs w:val="20"/>
        </w:rPr>
        <w:t>podjęta przez Generalnego Wykonawcę decyzja o odstąpieniu od umowy na</w:t>
      </w:r>
      <w:r>
        <w:rPr>
          <w:rFonts w:ascii="Verdana" w:eastAsia="Times New Roman" w:hAnsi="Verdana"/>
          <w:sz w:val="20"/>
          <w:szCs w:val="20"/>
        </w:rPr>
        <w:t> </w:t>
      </w:r>
      <w:r w:rsidRPr="00203227">
        <w:rPr>
          <w:rFonts w:ascii="Verdana" w:eastAsia="Times New Roman" w:hAnsi="Verdana"/>
          <w:sz w:val="20"/>
          <w:szCs w:val="20"/>
        </w:rPr>
        <w:t xml:space="preserve">realizację Inwestycji – trudna, poprzedzona szeregiem analiz i zebraniem szczegółowych informacji w relewantnym zakresie – niestety, będzie skutkować negatywnymi konsekwencjami tak dla mieszkańców Miasta Nowy Sącz, pracowników Generalnego Wykonawcy i ich rodzin jak i kooperantów Generalnego Wykonawcy wraz z rodzinami; powyższego nie dało się jednak uniknąć wobec sytuacji kontraktowej, </w:t>
      </w:r>
      <w:r>
        <w:rPr>
          <w:rFonts w:ascii="Verdana" w:eastAsia="Times New Roman" w:hAnsi="Verdana"/>
          <w:sz w:val="20"/>
          <w:szCs w:val="20"/>
        </w:rPr>
        <w:t xml:space="preserve">zaistniałej </w:t>
      </w:r>
      <w:r w:rsidRPr="00203227">
        <w:rPr>
          <w:rFonts w:ascii="Verdana" w:eastAsia="Times New Roman" w:hAnsi="Verdana"/>
          <w:sz w:val="20"/>
          <w:szCs w:val="20"/>
        </w:rPr>
        <w:t>na moment złożenia przez Generalnego Wykonawcę oświadczenia o odstąpieniu od umowy na Inwestycję</w:t>
      </w:r>
      <w:r>
        <w:rPr>
          <w:rFonts w:ascii="Verdana" w:eastAsia="Times New Roman" w:hAnsi="Verdana"/>
          <w:sz w:val="20"/>
          <w:szCs w:val="20"/>
        </w:rPr>
        <w:t>;</w:t>
      </w:r>
    </w:p>
    <w:p w14:paraId="1A4F265A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pojawił się problem z własnością działek, którego NIK nie chciał rozwiązać;</w:t>
      </w:r>
    </w:p>
    <w:p w14:paraId="697F0729" w14:textId="77777777" w:rsidR="0080153E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Generalny Wykonawca do dnia 31 października 2023 roku, stał na konsekwentnym stanowisku dalszego prowadzenia robót – Generalny Wykonawca chciał dokończyć budowę NIK, jednak NIK to skutecznie uniemożliwił;</w:t>
      </w:r>
    </w:p>
    <w:p w14:paraId="4942A023" w14:textId="77777777" w:rsidR="0080153E" w:rsidRPr="00203227" w:rsidRDefault="0080153E" w:rsidP="0080153E">
      <w:pPr>
        <w:pStyle w:val="Akapitzlist"/>
        <w:numPr>
          <w:ilvl w:val="0"/>
          <w:numId w:val="1"/>
        </w:numPr>
        <w:spacing w:after="240" w:line="288" w:lineRule="auto"/>
        <w:ind w:left="709" w:hanging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Gdyby Zamawiający zastosował do wszystkich robót realny mechanizm waloryzacji [tak jak robią to inni zamawiający w Polsce] i rozwiązał pozostałe leżące po jego stronie utrudnienia – stadion udałoby się dokończyć.</w:t>
      </w:r>
    </w:p>
    <w:p w14:paraId="0D6255F7" w14:textId="77777777" w:rsidR="0080153E" w:rsidRDefault="0080153E" w:rsidP="000242FC">
      <w:pPr>
        <w:spacing w:after="240"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3E736974" w14:textId="77777777" w:rsidR="00FD26CD" w:rsidRDefault="00FD26CD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6CA16061" w14:textId="77777777" w:rsidR="00FD26CD" w:rsidRDefault="00FD26CD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0A7F9173" w14:textId="286CF084" w:rsidR="00FD26CD" w:rsidRDefault="0080153E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Za</w:t>
      </w:r>
      <w:r w:rsidR="00FD26CD">
        <w:rPr>
          <w:rFonts w:ascii="Verdana" w:eastAsia="Times New Roman" w:hAnsi="Verdana"/>
          <w:sz w:val="20"/>
          <w:szCs w:val="20"/>
        </w:rPr>
        <w:t>łącznik nr 1</w:t>
      </w:r>
    </w:p>
    <w:tbl>
      <w:tblPr>
        <w:tblW w:w="8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2196"/>
      </w:tblGrid>
      <w:tr w:rsidR="00FD26CD" w:rsidRPr="00FD26CD" w14:paraId="22A5AC71" w14:textId="77777777" w:rsidTr="00FD26CD">
        <w:trPr>
          <w:trHeight w:val="390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3573D20" w14:textId="77777777" w:rsidR="00FD26CD" w:rsidRPr="00FD26CD" w:rsidRDefault="00FD26CD" w:rsidP="00FD26C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26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Tabela wzrostu cen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4D0A063" w14:textId="77777777" w:rsidR="00FD26CD" w:rsidRPr="00FD26CD" w:rsidRDefault="00FD26CD" w:rsidP="00FD26C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D26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kwota  </w:t>
            </w:r>
          </w:p>
        </w:tc>
      </w:tr>
      <w:tr w:rsidR="00FD26CD" w:rsidRPr="00FD26CD" w14:paraId="67D95AEA" w14:textId="77777777" w:rsidTr="00FD26CD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208D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>Ryczałtowe wynagrodzenie Generalnego Wykonawcy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8F39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        75 145 523,29 zł </w:t>
            </w:r>
          </w:p>
        </w:tc>
      </w:tr>
      <w:tr w:rsidR="00FD26CD" w:rsidRPr="00FD26CD" w14:paraId="769F6A75" w14:textId="77777777" w:rsidTr="00FD26CD">
        <w:trPr>
          <w:trHeight w:val="60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C1B7" w14:textId="5787EC44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>Wzrost cen dostaw i usług wylic</w:t>
            </w:r>
            <w:r>
              <w:rPr>
                <w:rFonts w:eastAsia="Times New Roman"/>
                <w:color w:val="000000"/>
                <w:lang w:eastAsia="pl-PL"/>
              </w:rPr>
              <w:t>zona przez Generalnego Wykonawcę</w:t>
            </w:r>
            <w:r w:rsidRPr="00FD26CD">
              <w:rPr>
                <w:rFonts w:eastAsia="Times New Roman"/>
                <w:color w:val="000000"/>
                <w:lang w:eastAsia="pl-PL"/>
              </w:rPr>
              <w:t xml:space="preserve"> 45,5%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42E0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        34 191 213,10 zł </w:t>
            </w:r>
          </w:p>
        </w:tc>
      </w:tr>
      <w:tr w:rsidR="00FD26CD" w:rsidRPr="00FD26CD" w14:paraId="15901BDF" w14:textId="77777777" w:rsidTr="00FD26CD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F799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>Wzrost cen dostaw i usług wyliczona przez Inwestora 31,9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9467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        23 971 421,93 zł </w:t>
            </w:r>
          </w:p>
        </w:tc>
      </w:tr>
      <w:tr w:rsidR="00FD26CD" w:rsidRPr="00FD26CD" w14:paraId="54E0256D" w14:textId="77777777" w:rsidTr="00FD26CD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9F56E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>Uznana waloryzacja Generalnego Wykonawcy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5860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           7 843 876,97 zł </w:t>
            </w:r>
          </w:p>
        </w:tc>
      </w:tr>
      <w:tr w:rsidR="00FD26CD" w:rsidRPr="00FD26CD" w14:paraId="0DC251D0" w14:textId="77777777" w:rsidTr="00FD26CD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BC89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Przyznana pierwsza waloryzacja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A9DE" w14:textId="77777777" w:rsidR="00FD26CD" w:rsidRPr="00FD26CD" w:rsidRDefault="00FD26CD" w:rsidP="00FD26CD">
            <w:pPr>
              <w:rPr>
                <w:rFonts w:eastAsia="Times New Roman"/>
                <w:color w:val="000000"/>
                <w:lang w:eastAsia="pl-PL"/>
              </w:rPr>
            </w:pPr>
            <w:r w:rsidRPr="00FD26CD">
              <w:rPr>
                <w:rFonts w:eastAsia="Times New Roman"/>
                <w:color w:val="000000"/>
                <w:lang w:eastAsia="pl-PL"/>
              </w:rPr>
              <w:t xml:space="preserve">           1 173 585,80 zł </w:t>
            </w:r>
          </w:p>
        </w:tc>
      </w:tr>
      <w:tr w:rsidR="00FD26CD" w:rsidRPr="00FD26CD" w14:paraId="4316BEC2" w14:textId="77777777" w:rsidTr="00FD26CD">
        <w:trPr>
          <w:trHeight w:val="6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59D3" w14:textId="77777777" w:rsidR="00FD26CD" w:rsidRPr="00FD26CD" w:rsidRDefault="00FD26CD" w:rsidP="00FD26CD">
            <w:pPr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FD26CD">
              <w:rPr>
                <w:rFonts w:eastAsia="Times New Roman"/>
                <w:b/>
                <w:bCs/>
                <w:color w:val="FF0000"/>
                <w:lang w:eastAsia="pl-PL"/>
              </w:rPr>
              <w:t>Poniesiona przez Generalnego Wykonawcę a nie przyznana przez Inwestora kwota waloryzacji.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D583" w14:textId="77777777" w:rsidR="00FD26CD" w:rsidRPr="00FD26CD" w:rsidRDefault="00FD26CD" w:rsidP="00FD26CD">
            <w:pPr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FD26CD">
              <w:rPr>
                <w:rFonts w:eastAsia="Times New Roman"/>
                <w:b/>
                <w:bCs/>
                <w:color w:val="FF0000"/>
                <w:lang w:eastAsia="pl-PL"/>
              </w:rPr>
              <w:t xml:space="preserve">        14 953 959,16 zł </w:t>
            </w:r>
          </w:p>
        </w:tc>
      </w:tr>
    </w:tbl>
    <w:p w14:paraId="1737105C" w14:textId="77777777" w:rsidR="00FD26CD" w:rsidRDefault="00FD26CD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6F98FDED" w14:textId="539FB83E" w:rsidR="00377D9B" w:rsidRDefault="00377D9B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31B95F68" w14:textId="77777777" w:rsidR="00A735A3" w:rsidRDefault="00A735A3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2F8DE4C3" w14:textId="77777777" w:rsidR="00A735A3" w:rsidRDefault="00A735A3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3D4A017D" w14:textId="77777777" w:rsidR="00A735A3" w:rsidRDefault="00A735A3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5B27FF10" w14:textId="77777777" w:rsidR="00A735A3" w:rsidRDefault="00A735A3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49978B7C" w14:textId="469D9B8C" w:rsidR="00377D9B" w:rsidRDefault="00377D9B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 w:rsidRPr="00377D9B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CDC3151" wp14:editId="00B2C2B1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5760000" cy="9594000"/>
            <wp:effectExtent l="0" t="0" r="0" b="7620"/>
            <wp:wrapThrough wrapText="bothSides">
              <wp:wrapPolygon edited="0">
                <wp:start x="0" y="0"/>
                <wp:lineTo x="0" y="21574"/>
                <wp:lineTo x="15361" y="21574"/>
                <wp:lineTo x="15361" y="20588"/>
                <wp:lineTo x="21505" y="20416"/>
                <wp:lineTo x="21505" y="20030"/>
                <wp:lineTo x="15361" y="19902"/>
                <wp:lineTo x="21505" y="19473"/>
                <wp:lineTo x="21505" y="19387"/>
                <wp:lineTo x="15361" y="19215"/>
                <wp:lineTo x="21505" y="19172"/>
                <wp:lineTo x="21505" y="19087"/>
                <wp:lineTo x="15361" y="18529"/>
                <wp:lineTo x="21505" y="18529"/>
                <wp:lineTo x="21505" y="18443"/>
                <wp:lineTo x="15361" y="17843"/>
                <wp:lineTo x="21505" y="17457"/>
                <wp:lineTo x="21505" y="17371"/>
                <wp:lineTo x="15361" y="17156"/>
                <wp:lineTo x="21505" y="16813"/>
                <wp:lineTo x="21505" y="16728"/>
                <wp:lineTo x="15361" y="16470"/>
                <wp:lineTo x="21505" y="16213"/>
                <wp:lineTo x="21505" y="16127"/>
                <wp:lineTo x="15361" y="15784"/>
                <wp:lineTo x="15361" y="15098"/>
                <wp:lineTo x="21505" y="15012"/>
                <wp:lineTo x="21505" y="14926"/>
                <wp:lineTo x="15361" y="14411"/>
                <wp:lineTo x="15361" y="13725"/>
                <wp:lineTo x="21505" y="13468"/>
                <wp:lineTo x="21505" y="13082"/>
                <wp:lineTo x="15361" y="13039"/>
                <wp:lineTo x="21505" y="12867"/>
                <wp:lineTo x="21505" y="11881"/>
                <wp:lineTo x="15361" y="11666"/>
                <wp:lineTo x="21505" y="11666"/>
                <wp:lineTo x="21505" y="6434"/>
                <wp:lineTo x="19361" y="6176"/>
                <wp:lineTo x="21505" y="6176"/>
                <wp:lineTo x="21505" y="5490"/>
                <wp:lineTo x="15361" y="5490"/>
                <wp:lineTo x="21505" y="5276"/>
                <wp:lineTo x="21505" y="4289"/>
                <wp:lineTo x="15361" y="4118"/>
                <wp:lineTo x="21505" y="4075"/>
                <wp:lineTo x="215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9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5A3">
        <w:rPr>
          <w:rFonts w:ascii="Verdana" w:eastAsia="Times New Roman" w:hAnsi="Verdana"/>
          <w:sz w:val="20"/>
          <w:szCs w:val="20"/>
        </w:rPr>
        <w:t>Załącznik nr 2</w:t>
      </w:r>
    </w:p>
    <w:p w14:paraId="6B242D7C" w14:textId="77777777" w:rsidR="00377D9B" w:rsidRDefault="00377D9B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034F94E2" w14:textId="77777777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1F0F6191" w14:textId="77777777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2C1ECBC0" w14:textId="77777777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347B4796" w14:textId="7A9B0528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Załącznik nr 3</w:t>
      </w:r>
    </w:p>
    <w:p w14:paraId="3E37B802" w14:textId="294D498E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  <w:r w:rsidRPr="0020782F">
        <w:rPr>
          <w:noProof/>
          <w:lang w:eastAsia="pl-PL"/>
        </w:rPr>
        <w:drawing>
          <wp:inline distT="0" distB="0" distL="0" distR="0" wp14:anchorId="3E5F2951" wp14:editId="13722B2A">
            <wp:extent cx="5760720" cy="780654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C6F8" w14:textId="77777777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7876203A" w14:textId="77777777" w:rsidR="0020782F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p w14:paraId="66BF4FFF" w14:textId="77777777" w:rsidR="0020782F" w:rsidRPr="00FD26CD" w:rsidRDefault="0020782F" w:rsidP="00FD26CD">
      <w:pPr>
        <w:spacing w:after="240" w:line="288" w:lineRule="auto"/>
        <w:jc w:val="both"/>
        <w:rPr>
          <w:rFonts w:ascii="Verdana" w:eastAsia="Times New Roman" w:hAnsi="Verdana"/>
          <w:sz w:val="20"/>
          <w:szCs w:val="20"/>
        </w:rPr>
      </w:pPr>
    </w:p>
    <w:sectPr w:rsidR="0020782F" w:rsidRPr="00FD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CDA0" w14:textId="77777777" w:rsidR="00BC0247" w:rsidRDefault="00BC0247" w:rsidP="00377D9B">
      <w:r>
        <w:separator/>
      </w:r>
    </w:p>
  </w:endnote>
  <w:endnote w:type="continuationSeparator" w:id="0">
    <w:p w14:paraId="1B13937E" w14:textId="77777777" w:rsidR="00BC0247" w:rsidRDefault="00BC0247" w:rsidP="003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D03F" w14:textId="77777777" w:rsidR="00BC0247" w:rsidRDefault="00BC0247" w:rsidP="00377D9B">
      <w:r>
        <w:separator/>
      </w:r>
    </w:p>
  </w:footnote>
  <w:footnote w:type="continuationSeparator" w:id="0">
    <w:p w14:paraId="29FCE254" w14:textId="77777777" w:rsidR="00BC0247" w:rsidRDefault="00BC0247" w:rsidP="0037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19C"/>
    <w:multiLevelType w:val="hybridMultilevel"/>
    <w:tmpl w:val="BBEE2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D5"/>
    <w:rsid w:val="000242FC"/>
    <w:rsid w:val="00031DCC"/>
    <w:rsid w:val="00036C66"/>
    <w:rsid w:val="00042AEA"/>
    <w:rsid w:val="00061B86"/>
    <w:rsid w:val="000C62EB"/>
    <w:rsid w:val="000F2B34"/>
    <w:rsid w:val="000F5F09"/>
    <w:rsid w:val="000F798E"/>
    <w:rsid w:val="001076CC"/>
    <w:rsid w:val="00117DFE"/>
    <w:rsid w:val="00170443"/>
    <w:rsid w:val="00174FA8"/>
    <w:rsid w:val="00187233"/>
    <w:rsid w:val="00197008"/>
    <w:rsid w:val="001A0425"/>
    <w:rsid w:val="001A7FE7"/>
    <w:rsid w:val="00203227"/>
    <w:rsid w:val="002048AA"/>
    <w:rsid w:val="0020782F"/>
    <w:rsid w:val="002416FE"/>
    <w:rsid w:val="0024258E"/>
    <w:rsid w:val="00251E5E"/>
    <w:rsid w:val="00281DA2"/>
    <w:rsid w:val="002D0170"/>
    <w:rsid w:val="0031090C"/>
    <w:rsid w:val="00317A57"/>
    <w:rsid w:val="00341AC0"/>
    <w:rsid w:val="0035454D"/>
    <w:rsid w:val="003664D6"/>
    <w:rsid w:val="003666D2"/>
    <w:rsid w:val="00377D9B"/>
    <w:rsid w:val="0038276F"/>
    <w:rsid w:val="003B5602"/>
    <w:rsid w:val="00424DA9"/>
    <w:rsid w:val="004472A7"/>
    <w:rsid w:val="00462962"/>
    <w:rsid w:val="004968AD"/>
    <w:rsid w:val="004A0199"/>
    <w:rsid w:val="004B5BA6"/>
    <w:rsid w:val="004E29FD"/>
    <w:rsid w:val="00550EC3"/>
    <w:rsid w:val="00571A68"/>
    <w:rsid w:val="00574A89"/>
    <w:rsid w:val="00584AA4"/>
    <w:rsid w:val="005C31D6"/>
    <w:rsid w:val="005E1C0D"/>
    <w:rsid w:val="006D7031"/>
    <w:rsid w:val="007A07ED"/>
    <w:rsid w:val="007F152B"/>
    <w:rsid w:val="0080153E"/>
    <w:rsid w:val="008653E5"/>
    <w:rsid w:val="00873281"/>
    <w:rsid w:val="009112E0"/>
    <w:rsid w:val="00A37284"/>
    <w:rsid w:val="00A54390"/>
    <w:rsid w:val="00A675A3"/>
    <w:rsid w:val="00A67CE8"/>
    <w:rsid w:val="00A735A3"/>
    <w:rsid w:val="00B24F6D"/>
    <w:rsid w:val="00B5047A"/>
    <w:rsid w:val="00B619D5"/>
    <w:rsid w:val="00B62C9E"/>
    <w:rsid w:val="00BC0247"/>
    <w:rsid w:val="00BD0871"/>
    <w:rsid w:val="00BD646E"/>
    <w:rsid w:val="00BF078E"/>
    <w:rsid w:val="00C62D9A"/>
    <w:rsid w:val="00C65D65"/>
    <w:rsid w:val="00C66A8A"/>
    <w:rsid w:val="00C91F76"/>
    <w:rsid w:val="00C97A15"/>
    <w:rsid w:val="00CE1929"/>
    <w:rsid w:val="00CE302E"/>
    <w:rsid w:val="00CE479C"/>
    <w:rsid w:val="00D41D25"/>
    <w:rsid w:val="00D66636"/>
    <w:rsid w:val="00D72C43"/>
    <w:rsid w:val="00D8126C"/>
    <w:rsid w:val="00DB5768"/>
    <w:rsid w:val="00DB5CB4"/>
    <w:rsid w:val="00DC0F5E"/>
    <w:rsid w:val="00E42A5A"/>
    <w:rsid w:val="00E50F6C"/>
    <w:rsid w:val="00E8435E"/>
    <w:rsid w:val="00EB285E"/>
    <w:rsid w:val="00EE7245"/>
    <w:rsid w:val="00EF419F"/>
    <w:rsid w:val="00F01CE3"/>
    <w:rsid w:val="00F62833"/>
    <w:rsid w:val="00F756AB"/>
    <w:rsid w:val="00FC211B"/>
    <w:rsid w:val="00FD1CB2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E470"/>
  <w15:chartTrackingRefBased/>
  <w15:docId w15:val="{7F02403C-75EB-4CC2-9E0A-4EC4BB3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D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D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2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85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5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5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31D6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D9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D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Duma</dc:creator>
  <cp:keywords/>
  <dc:description/>
  <cp:lastModifiedBy>Konto Microsoft</cp:lastModifiedBy>
  <cp:revision>6</cp:revision>
  <dcterms:created xsi:type="dcterms:W3CDTF">2023-11-06T19:00:00Z</dcterms:created>
  <dcterms:modified xsi:type="dcterms:W3CDTF">2023-11-06T19:10:00Z</dcterms:modified>
</cp:coreProperties>
</file>